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делового общения</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«Этика делового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этику делового общения и правила ведения переговоров</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средства связи и коммуникаций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этикой делового общения и правилами ведения переговоров</w:t>
            </w:r>
          </w:p>
        </w:tc>
      </w:tr>
      <w:tr>
        <w:trPr>
          <w:trHeight w:hRule="exact" w:val="277.8299"/>
        </w:trPr>
        <w:tc>
          <w:tcPr>
            <w:tcW w:w="3970" w:type="dxa"/>
          </w:tcPr>
          <w:p/>
        </w:tc>
        <w:tc>
          <w:tcPr>
            <w:tcW w:w="4679" w:type="dxa"/>
          </w:tcPr>
          <w:p/>
        </w:tc>
        <w:tc>
          <w:tcPr>
            <w:tcW w:w="993" w:type="dxa"/>
          </w:tcP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«Этика делового общения»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67.7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386.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снижения негативного воздействия замечаний. Позитивные установки на восприятие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5.Организация пространственной среды в деловой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4.Здоровый образ жизни. Культура одежды.</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3.Умение слушать собеседника – ключ к решению многих проблем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1.Этикет и его место в деловом общении.</w:t>
            </w:r>
          </w:p>
          <w:p>
            <w:pPr>
              <w:jc w:val="both"/>
              <w:spacing w:after="0" w:line="240" w:lineRule="auto"/>
              <w:rPr>
                <w:sz w:val="24"/>
                <w:szCs w:val="24"/>
              </w:rPr>
            </w:pPr>
            <w:r>
              <w:rPr>
                <w:rFonts w:ascii="Times New Roman" w:hAnsi="Times New Roman" w:cs="Times New Roman"/>
                <w:color w:val="#000000"/>
                <w:sz w:val="24"/>
                <w:szCs w:val="24"/>
              </w:rPr>
              <w:t> 2.Особенности русского, западного и восточного этикета. Этикетные нормы поведения.</w:t>
            </w:r>
          </w:p>
          <w:p>
            <w:pPr>
              <w:jc w:val="both"/>
              <w:spacing w:after="0" w:line="240" w:lineRule="auto"/>
              <w:rPr>
                <w:sz w:val="24"/>
                <w:szCs w:val="24"/>
              </w:rPr>
            </w:pPr>
            <w:r>
              <w:rPr>
                <w:rFonts w:ascii="Times New Roman" w:hAnsi="Times New Roman" w:cs="Times New Roman"/>
                <w:color w:val="#000000"/>
                <w:sz w:val="24"/>
                <w:szCs w:val="24"/>
              </w:rPr>
              <w:t> 3.Специфика делового этикета. Правила этикетного взаимодействия руководителя и подчиненного, коллег.</w:t>
            </w:r>
          </w:p>
          <w:p>
            <w:pPr>
              <w:jc w:val="both"/>
              <w:spacing w:after="0" w:line="240" w:lineRule="auto"/>
              <w:rPr>
                <w:sz w:val="24"/>
                <w:szCs w:val="24"/>
              </w:rPr>
            </w:pPr>
            <w:r>
              <w:rPr>
                <w:rFonts w:ascii="Times New Roman" w:hAnsi="Times New Roman" w:cs="Times New Roman"/>
                <w:color w:val="#000000"/>
                <w:sz w:val="24"/>
                <w:szCs w:val="24"/>
              </w:rPr>
              <w:t> 4.Психологическая составляющая делового общения. Правила и прием позитивного общения.</w:t>
            </w:r>
          </w:p>
          <w:p>
            <w:pPr>
              <w:jc w:val="both"/>
              <w:spacing w:after="0" w:line="240" w:lineRule="auto"/>
              <w:rPr>
                <w:sz w:val="24"/>
                <w:szCs w:val="24"/>
              </w:rPr>
            </w:pPr>
            <w:r>
              <w:rPr>
                <w:rFonts w:ascii="Times New Roman" w:hAnsi="Times New Roman" w:cs="Times New Roman"/>
                <w:color w:val="#000000"/>
                <w:sz w:val="24"/>
                <w:szCs w:val="24"/>
              </w:rPr>
              <w:t> 5.Стиль делового общения. Управление общением.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Стратегия ведения переговоров.</w:t>
            </w:r>
          </w:p>
          <w:p>
            <w:pPr>
              <w:jc w:val="left"/>
              <w:spacing w:after="0" w:line="240" w:lineRule="auto"/>
              <w:rPr>
                <w:sz w:val="24"/>
                <w:szCs w:val="24"/>
              </w:rPr>
            </w:pPr>
            <w:r>
              <w:rPr>
                <w:rFonts w:ascii="Times New Roman" w:hAnsi="Times New Roman" w:cs="Times New Roman"/>
                <w:color w:val="#000000"/>
                <w:sz w:val="24"/>
                <w:szCs w:val="24"/>
              </w:rPr>
              <w:t> 2.	Подготовительные мероприятия к переговорному процессу.</w:t>
            </w:r>
          </w:p>
          <w:p>
            <w:pPr>
              <w:jc w:val="left"/>
              <w:spacing w:after="0" w:line="240" w:lineRule="auto"/>
              <w:rPr>
                <w:sz w:val="24"/>
                <w:szCs w:val="24"/>
              </w:rPr>
            </w:pPr>
            <w:r>
              <w:rPr>
                <w:rFonts w:ascii="Times New Roman" w:hAnsi="Times New Roman" w:cs="Times New Roman"/>
                <w:color w:val="#000000"/>
                <w:sz w:val="24"/>
                <w:szCs w:val="24"/>
              </w:rPr>
              <w:t> 3.	Порядок проведения переговорного процесса. Техника и тактика ведения деловых переговоров.</w:t>
            </w:r>
          </w:p>
          <w:p>
            <w:pPr>
              <w:jc w:val="left"/>
              <w:spacing w:after="0" w:line="240" w:lineRule="auto"/>
              <w:rPr>
                <w:sz w:val="24"/>
                <w:szCs w:val="24"/>
              </w:rPr>
            </w:pPr>
            <w:r>
              <w:rPr>
                <w:rFonts w:ascii="Times New Roman" w:hAnsi="Times New Roman" w:cs="Times New Roman"/>
                <w:color w:val="#000000"/>
                <w:sz w:val="24"/>
                <w:szCs w:val="24"/>
              </w:rPr>
              <w:t> 4.	Формулировка целей и пределов перед началом переговорного процесса.</w:t>
            </w:r>
          </w:p>
          <w:p>
            <w:pPr>
              <w:jc w:val="left"/>
              <w:spacing w:after="0" w:line="240" w:lineRule="auto"/>
              <w:rPr>
                <w:sz w:val="24"/>
                <w:szCs w:val="24"/>
              </w:rPr>
            </w:pPr>
            <w:r>
              <w:rPr>
                <w:rFonts w:ascii="Times New Roman" w:hAnsi="Times New Roman" w:cs="Times New Roman"/>
                <w:color w:val="#000000"/>
                <w:sz w:val="24"/>
                <w:szCs w:val="24"/>
              </w:rPr>
              <w:t> 5.	Ведение переговоров в неблагоприятных ситуациях - контроль за эмоциями. Стили ведения деловых переговоров.</w:t>
            </w:r>
          </w:p>
          <w:p>
            <w:pPr>
              <w:jc w:val="left"/>
              <w:spacing w:after="0" w:line="240" w:lineRule="auto"/>
              <w:rPr>
                <w:sz w:val="24"/>
                <w:szCs w:val="24"/>
              </w:rPr>
            </w:pPr>
            <w:r>
              <w:rPr>
                <w:rFonts w:ascii="Times New Roman" w:hAnsi="Times New Roman" w:cs="Times New Roman"/>
                <w:color w:val="#000000"/>
                <w:sz w:val="24"/>
                <w:szCs w:val="24"/>
              </w:rPr>
              <w:t> 6.	Положение собеседника за столом. Различные типы поведения партнеров на переговорах. Когда и как завершать переговоры.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left"/>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left"/>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left"/>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left"/>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left"/>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left"/>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left"/>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left"/>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left"/>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left"/>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21.31608"/>
        </w:trPr>
        <w:tc>
          <w:tcPr>
            <w:tcW w:w="9640" w:type="dxa"/>
          </w:tcPr>
          <w:p/>
        </w:tc>
      </w:tr>
      <w:tr>
        <w:trPr>
          <w:trHeight w:hRule="exact" w:val="294.44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left"/>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left"/>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left"/>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left"/>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Конфликт как сложная взаимосвязанная система и динамически-развивающийся процесс.</w:t>
            </w:r>
          </w:p>
          <w:p>
            <w:pPr>
              <w:jc w:val="left"/>
              <w:spacing w:after="0" w:line="240" w:lineRule="auto"/>
              <w:rPr>
                <w:sz w:val="24"/>
                <w:szCs w:val="24"/>
              </w:rPr>
            </w:pPr>
            <w:r>
              <w:rPr>
                <w:rFonts w:ascii="Times New Roman" w:hAnsi="Times New Roman" w:cs="Times New Roman"/>
                <w:color w:val="#000000"/>
                <w:sz w:val="24"/>
                <w:szCs w:val="24"/>
              </w:rPr>
              <w:t> 2.	Составляющие конфликта: предмет конфликта, его участники, условия протекания, мотивы сторон, их цели и позиции.</w:t>
            </w:r>
          </w:p>
          <w:p>
            <w:pPr>
              <w:jc w:val="left"/>
              <w:spacing w:after="0" w:line="240" w:lineRule="auto"/>
              <w:rPr>
                <w:sz w:val="24"/>
                <w:szCs w:val="24"/>
              </w:rPr>
            </w:pPr>
            <w:r>
              <w:rPr>
                <w:rFonts w:ascii="Times New Roman" w:hAnsi="Times New Roman" w:cs="Times New Roman"/>
                <w:color w:val="#000000"/>
                <w:sz w:val="24"/>
                <w:szCs w:val="24"/>
              </w:rPr>
              <w:t> 3.	Динамика конфликта.</w:t>
            </w:r>
          </w:p>
          <w:p>
            <w:pPr>
              <w:jc w:val="left"/>
              <w:spacing w:after="0" w:line="240" w:lineRule="auto"/>
              <w:rPr>
                <w:sz w:val="24"/>
                <w:szCs w:val="24"/>
              </w:rPr>
            </w:pPr>
            <w:r>
              <w:rPr>
                <w:rFonts w:ascii="Times New Roman" w:hAnsi="Times New Roman" w:cs="Times New Roman"/>
                <w:color w:val="#000000"/>
                <w:sz w:val="24"/>
                <w:szCs w:val="24"/>
              </w:rPr>
              <w:t> 4.	Основные стратегии поведения в конфликтной ситуации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делового общения»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2024-2025_ФГОС3++2024_Бак-ОЗФО-Мен_(ЛиУЗ)(24)_plx_Этика делового общения</dc:title>
  <dc:creator>FastReport.NET</dc:creator>
</cp:coreProperties>
</file>